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0" w:lineRule="atLeast"/>
        <w:ind w:left="-720" w:leftChars="-300" w:right="-720" w:rightChars="-300"/>
        <w:jc w:val="center"/>
        <w:rPr>
          <w:rFonts w:ascii="宋体" w:hAnsi="宋体" w:eastAsia="宋体" w:cs="微软雅黑"/>
          <w:b/>
          <w:spacing w:val="80"/>
          <w:sz w:val="28"/>
          <w:szCs w:val="28"/>
        </w:rPr>
      </w:pPr>
      <w:r>
        <w:rPr>
          <w:rFonts w:ascii="宋体" w:hAnsi="宋体" w:eastAsia="宋体" w:cs="宋体"/>
          <w:b/>
        </w:rPr>
        <mc:AlternateContent>
          <mc:Choice Requires="wps">
            <w:drawing>
              <wp:anchor distT="0" distB="0" distL="114300" distR="114300" simplePos="0" relativeHeight="251658240" behindDoc="0" locked="0" layoutInCell="1" allowOverlap="1">
                <wp:simplePos x="0" y="0"/>
                <wp:positionH relativeFrom="column">
                  <wp:posOffset>-454660</wp:posOffset>
                </wp:positionH>
                <wp:positionV relativeFrom="paragraph">
                  <wp:posOffset>-194945</wp:posOffset>
                </wp:positionV>
                <wp:extent cx="647700" cy="4572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7700" cy="457200"/>
                        </a:xfrm>
                        <a:prstGeom prst="rect">
                          <a:avLst/>
                        </a:prstGeom>
                        <a:solidFill>
                          <a:srgbClr val="FFFFFF"/>
                        </a:solidFill>
                        <a:ln>
                          <a:noFill/>
                        </a:ln>
                      </wps:spPr>
                      <wps:txbx>
                        <w:txbxContent>
                          <w:p>
                            <w:pPr>
                              <w:rPr>
                                <w:rFonts w:ascii="黑体" w:hAnsi="黑体" w:eastAsia="黑体"/>
                                <w:sz w:val="40"/>
                                <w:szCs w:val="40"/>
                              </w:rPr>
                            </w:pPr>
                            <w:r>
                              <w:rPr>
                                <w:rFonts w:hint="eastAsia" w:ascii="黑体" w:hAnsi="黑体" w:eastAsia="黑体"/>
                                <w:sz w:val="40"/>
                                <w:szCs w:val="40"/>
                              </w:rPr>
                              <w:t>D-2</w:t>
                            </w:r>
                          </w:p>
                        </w:txbxContent>
                      </wps:txbx>
                      <wps:bodyPr upright="1"/>
                    </wps:wsp>
                  </a:graphicData>
                </a:graphic>
              </wp:anchor>
            </w:drawing>
          </mc:Choice>
          <mc:Fallback>
            <w:pict>
              <v:shape id="文本框 2" o:spid="_x0000_s1026" o:spt="202" type="#_x0000_t202" style="position:absolute;left:0pt;margin-left:-35.8pt;margin-top:-15.35pt;height:36pt;width:51pt;z-index:251658240;mso-width-relative:page;mso-height-relative:page;" fillcolor="#FFFFFF" filled="t" stroked="f" coordsize="21600,21600" o:gfxdata="UEsDBAoAAAAAAIdO4kAAAAAAAAAAAAAAAAAEAAAAZHJzL1BLAwQUAAAACACHTuJAAAsYrNcAAAAJ&#10;AQAADwAAAGRycy9kb3ducmV2LnhtbE2PwU7DMAyG70i8Q2QkLmhLSrsWStNJIIG4buwB0sZrKxqn&#10;arJ1e3vMCW62/On391fbixvFGecweNKQrBUIpNbbgToNh6/31ROIEA1ZM3pCDVcMsK1vbypTWr/Q&#10;Ds/72AkOoVAaDX2MUyllaHt0Jqz9hMS3o5+dibzOnbSzWTjcjfJRqVw6MxB/6M2Ebz223/uT03D8&#10;XB42z0vzEQ/FLstfzVA0/qr1/V2iXkBEvMQ/GH71WR1qdmr8iWwQo4ZVkeSM8pCqAgQTqcpANBqy&#10;JAVZV/J/g/oHUEsDBBQAAAAIAIdO4kBSPJ1PogEAACgDAAAOAAAAZHJzL2Uyb0RvYy54bWytUsGO&#10;0zAQvSPxD5bvNNlq2aKo6UrLqlwQIC18gOvYiSXbY429TfoD8AecuHDnu/odjN3QXZYb2hwcz8zz&#10;87x5Xl9PzrK9wmjAt/xiUXOmvITO+L7lXz5vX73hLCbhO2HBq5YfVOTXm5cv1mNo1BIGsJ1CRiQ+&#10;NmNo+ZBSaKoqykE5ERcQlKeiBnQiUYh91aEYid3ZalnXV9UI2AUEqWKk7O2pyDeFX2sl00eto0rM&#10;tpx6S2XFsu7yWm3WoulRhMHIuQ3xH104YTxdeqa6FUmwezT/UDkjESLotJDgKtDaSFU0kJqL+oma&#10;u0EEVbTQcGI4jyk+H638sP+EzHTkHWdeOLLo+P3b8cev48+vbJnHM4bYEOouEC5NNzBl6JyPlMyq&#10;J40u/0kPozoN+nAerpoSk5S8ulytaqpIKl2+XpF5maV6OBwwpncKHMubliN5V0Yq9u9jOkH/QPJd&#10;EazptsbaEmC/e2uR7QX5vC3fzP4XzPoM9pCPnRhzpsoST1LyLk27ada3g+5Asu8Dmn6gnorwAic7&#10;SvPz08l+P44L6cMD3/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AsYrNcAAAAJAQAADwAAAAAA&#10;AAABACAAAAAiAAAAZHJzL2Rvd25yZXYueG1sUEsBAhQAFAAAAAgAh07iQFI8nU+iAQAAKAMAAA4A&#10;AAAAAAAAAQAgAAAAJgEAAGRycy9lMm9Eb2MueG1sUEsFBgAAAAAGAAYAWQEAADoFAAAAAA==&#10;">
                <v:fill on="t" focussize="0,0"/>
                <v:stroke on="f"/>
                <v:imagedata o:title=""/>
                <o:lock v:ext="edit" aspectratio="f"/>
                <v:textbox>
                  <w:txbxContent>
                    <w:p>
                      <w:pPr>
                        <w:rPr>
                          <w:rFonts w:ascii="黑体" w:hAnsi="黑体" w:eastAsia="黑体"/>
                          <w:sz w:val="40"/>
                          <w:szCs w:val="40"/>
                        </w:rPr>
                      </w:pPr>
                      <w:r>
                        <w:rPr>
                          <w:rFonts w:hint="eastAsia" w:ascii="黑体" w:hAnsi="黑体" w:eastAsia="黑体"/>
                          <w:sz w:val="40"/>
                          <w:szCs w:val="40"/>
                        </w:rPr>
                        <w:t>D-2</w:t>
                      </w:r>
                    </w:p>
                  </w:txbxContent>
                </v:textbox>
              </v:shape>
            </w:pict>
          </mc:Fallback>
        </mc:AlternateContent>
      </w:r>
      <w:r>
        <w:rPr>
          <w:rFonts w:ascii="宋体" w:hAnsi="宋体" w:eastAsia="宋体" w:cs="微软雅黑"/>
          <w:b/>
          <w:spacing w:val="80"/>
          <w:sz w:val="28"/>
          <w:szCs w:val="28"/>
        </w:rPr>
        <w:t>证券投资基金权益须知</w:t>
      </w:r>
    </w:p>
    <w:p>
      <w:pPr>
        <w:spacing w:line="360" w:lineRule="auto"/>
        <w:ind w:left="-720" w:leftChars="-300" w:right="-720" w:rightChars="-300"/>
        <w:rPr>
          <w:rFonts w:ascii="宋体" w:hAnsi="宋体" w:eastAsia="宋体" w:cs="微软雅黑"/>
          <w:sz w:val="18"/>
        </w:rPr>
      </w:pPr>
      <w:r>
        <w:rPr>
          <w:rFonts w:ascii="宋体" w:hAnsi="宋体" w:eastAsia="宋体" w:cs="微软雅黑"/>
          <w:sz w:val="18"/>
        </w:rPr>
        <w:t>尊敬的基金投资人：</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基金投资在获取收益的同时存在投资风险。为了保护您的合法权益，请在投资基金前认真阅读以下内容：</w:t>
      </w:r>
    </w:p>
    <w:p>
      <w:pPr>
        <w:spacing w:line="360" w:lineRule="auto"/>
        <w:ind w:left="-720" w:leftChars="-300" w:right="-720" w:rightChars="-300"/>
        <w:rPr>
          <w:rFonts w:ascii="宋体" w:hAnsi="宋体" w:eastAsia="宋体" w:cs="微软雅黑"/>
          <w:b/>
          <w:sz w:val="20"/>
        </w:rPr>
      </w:pPr>
      <w:r>
        <w:rPr>
          <w:rFonts w:ascii="宋体" w:hAnsi="宋体" w:eastAsia="宋体" w:cs="微软雅黑"/>
          <w:b/>
          <w:sz w:val="20"/>
        </w:rPr>
        <w:t>一、基金的基本知识</w:t>
      </w:r>
    </w:p>
    <w:p>
      <w:pPr>
        <w:spacing w:line="360" w:lineRule="auto"/>
        <w:ind w:left="-720" w:leftChars="-300" w:right="-720" w:rightChars="-300" w:firstLine="361" w:firstLineChars="200"/>
        <w:rPr>
          <w:rFonts w:ascii="宋体" w:hAnsi="宋体" w:eastAsia="宋体" w:cs="微软雅黑"/>
          <w:b/>
          <w:sz w:val="18"/>
        </w:rPr>
      </w:pPr>
      <w:r>
        <w:rPr>
          <w:rFonts w:hint="eastAsia" w:ascii="宋体" w:hAnsi="宋体" w:eastAsia="宋体" w:cs="微软雅黑"/>
          <w:b/>
          <w:sz w:val="18"/>
        </w:rPr>
        <w:t>1、</w:t>
      </w:r>
      <w:r>
        <w:rPr>
          <w:rFonts w:ascii="宋体" w:hAnsi="宋体" w:eastAsia="宋体" w:cs="微软雅黑"/>
          <w:b/>
          <w:sz w:val="18"/>
        </w:rPr>
        <w:t>什么是基金</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证券投资基金（简称基金）是指通过发售基金份额，将众多投资者的资金集中起来，形成独立财产，由基金托管人托管，基金管理人管理，以投资组合的方法进行证券投资的一种利益共享、风险共担的集合投资方式。</w:t>
      </w:r>
    </w:p>
    <w:p>
      <w:pPr>
        <w:spacing w:line="360" w:lineRule="auto"/>
        <w:ind w:left="-720" w:leftChars="-300" w:right="-720" w:rightChars="-300" w:firstLine="361" w:firstLineChars="200"/>
        <w:rPr>
          <w:rFonts w:ascii="宋体" w:hAnsi="宋体" w:eastAsia="宋体" w:cs="微软雅黑"/>
          <w:b/>
          <w:sz w:val="18"/>
        </w:rPr>
      </w:pPr>
      <w:r>
        <w:rPr>
          <w:rFonts w:ascii="宋体" w:hAnsi="宋体" w:eastAsia="宋体" w:cs="微软雅黑"/>
          <w:b/>
          <w:sz w:val="18"/>
        </w:rPr>
        <w:t>2、基金与股票、债券、储蓄存款等其它金融工具的区别</w:t>
      </w:r>
    </w:p>
    <w:tbl>
      <w:tblPr>
        <w:tblStyle w:val="5"/>
        <w:tblW w:w="10228" w:type="dxa"/>
        <w:jc w:val="center"/>
        <w:tblLayout w:type="autofit"/>
        <w:tblCellMar>
          <w:top w:w="0" w:type="dxa"/>
          <w:left w:w="108" w:type="dxa"/>
          <w:bottom w:w="0" w:type="dxa"/>
          <w:right w:w="108" w:type="dxa"/>
        </w:tblCellMar>
      </w:tblPr>
      <w:tblGrid>
        <w:gridCol w:w="1110"/>
        <w:gridCol w:w="3133"/>
        <w:gridCol w:w="1906"/>
        <w:gridCol w:w="1984"/>
        <w:gridCol w:w="2095"/>
      </w:tblGrid>
      <w:tr>
        <w:tblPrEx>
          <w:tblCellMar>
            <w:top w:w="0" w:type="dxa"/>
            <w:left w:w="108" w:type="dxa"/>
            <w:bottom w:w="0" w:type="dxa"/>
            <w:right w:w="108" w:type="dxa"/>
          </w:tblCellMar>
        </w:tblPrEx>
        <w:trPr>
          <w:trHeight w:val="394" w:hRule="atLeast"/>
          <w:jc w:val="center"/>
        </w:trPr>
        <w:tc>
          <w:tcPr>
            <w:tcW w:w="1110"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　</w:t>
            </w:r>
          </w:p>
        </w:tc>
        <w:tc>
          <w:tcPr>
            <w:tcW w:w="0" w:type="auto"/>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基金</w:t>
            </w:r>
          </w:p>
        </w:tc>
        <w:tc>
          <w:tcPr>
            <w:tcW w:w="1906"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股票</w:t>
            </w:r>
          </w:p>
        </w:tc>
        <w:tc>
          <w:tcPr>
            <w:tcW w:w="1984"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债券</w:t>
            </w:r>
          </w:p>
        </w:tc>
        <w:tc>
          <w:tcPr>
            <w:tcW w:w="2095"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银行储蓄存款</w:t>
            </w:r>
          </w:p>
        </w:tc>
      </w:tr>
      <w:tr>
        <w:tblPrEx>
          <w:tblCellMar>
            <w:top w:w="0" w:type="dxa"/>
            <w:left w:w="108" w:type="dxa"/>
            <w:bottom w:w="0" w:type="dxa"/>
            <w:right w:w="108" w:type="dxa"/>
          </w:tblCellMar>
        </w:tblPrEx>
        <w:trPr>
          <w:trHeight w:val="1251" w:hRule="atLeast"/>
          <w:jc w:val="center"/>
        </w:trPr>
        <w:tc>
          <w:tcPr>
            <w:tcW w:w="1110"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反映经济关系不同</w:t>
            </w:r>
          </w:p>
        </w:tc>
        <w:tc>
          <w:tcPr>
            <w:tcW w:w="0" w:type="auto"/>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信托关系，是一种受益凭证，投资者购买基金份额后成为基金受益人，基金管理人只是替投资者管理资金，并不承担投资损失风险</w:t>
            </w:r>
          </w:p>
        </w:tc>
        <w:tc>
          <w:tcPr>
            <w:tcW w:w="1906"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所有权关系，是一种所有权凭证，投资者购买后成为公司股东</w:t>
            </w:r>
          </w:p>
        </w:tc>
        <w:tc>
          <w:tcPr>
            <w:tcW w:w="1984"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债权债务关系是一种债权凭证，投资者购买后成为该公司债权人</w:t>
            </w:r>
          </w:p>
        </w:tc>
        <w:tc>
          <w:tcPr>
            <w:tcW w:w="2095"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表现为银行的负债，是一种信用凭证，银行对存款者负有法定的保本付息责任</w:t>
            </w:r>
          </w:p>
        </w:tc>
      </w:tr>
      <w:tr>
        <w:tblPrEx>
          <w:tblCellMar>
            <w:top w:w="0" w:type="dxa"/>
            <w:left w:w="108" w:type="dxa"/>
            <w:bottom w:w="0" w:type="dxa"/>
            <w:right w:w="108" w:type="dxa"/>
          </w:tblCellMar>
        </w:tblPrEx>
        <w:trPr>
          <w:trHeight w:val="830" w:hRule="atLeast"/>
          <w:jc w:val="center"/>
        </w:trPr>
        <w:tc>
          <w:tcPr>
            <w:tcW w:w="1110"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所筹资金投向不同</w:t>
            </w:r>
          </w:p>
        </w:tc>
        <w:tc>
          <w:tcPr>
            <w:tcW w:w="0" w:type="auto"/>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间接投资工具，主要投向股票、债券等有价证券</w:t>
            </w:r>
          </w:p>
        </w:tc>
        <w:tc>
          <w:tcPr>
            <w:tcW w:w="1906"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直接投资工具，主要投向实业领域</w:t>
            </w:r>
          </w:p>
        </w:tc>
        <w:tc>
          <w:tcPr>
            <w:tcW w:w="1984"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直接投资工具，主要</w:t>
            </w:r>
          </w:p>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投向实业领域</w:t>
            </w:r>
          </w:p>
        </w:tc>
        <w:tc>
          <w:tcPr>
            <w:tcW w:w="2095"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间接投资工具，银行负责资金用途和投向</w:t>
            </w:r>
          </w:p>
        </w:tc>
      </w:tr>
      <w:tr>
        <w:tblPrEx>
          <w:tblCellMar>
            <w:top w:w="0" w:type="dxa"/>
            <w:left w:w="108" w:type="dxa"/>
            <w:bottom w:w="0" w:type="dxa"/>
            <w:right w:w="108" w:type="dxa"/>
          </w:tblCellMar>
        </w:tblPrEx>
        <w:trPr>
          <w:trHeight w:val="730" w:hRule="atLeast"/>
          <w:jc w:val="center"/>
        </w:trPr>
        <w:tc>
          <w:tcPr>
            <w:tcW w:w="1110"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投资收益与风险大小不同</w:t>
            </w:r>
          </w:p>
        </w:tc>
        <w:tc>
          <w:tcPr>
            <w:tcW w:w="0" w:type="auto"/>
            <w:tcBorders>
              <w:top w:val="single" w:color="auto" w:sz="8" w:space="0"/>
              <w:left w:val="single" w:color="auto" w:sz="8" w:space="0"/>
              <w:bottom w:val="nil"/>
              <w:right w:val="nil"/>
            </w:tcBorders>
            <w:shd w:val="clear" w:color="000000" w:fill="FFFFFF"/>
            <w:vAlign w:val="center"/>
          </w:tcPr>
          <w:p>
            <w:pPr>
              <w:widowControl/>
              <w:rPr>
                <w:rFonts w:ascii="宋体" w:hAnsi="宋体" w:eastAsia="宋体" w:cs="宋体"/>
                <w:sz w:val="18"/>
                <w:szCs w:val="18"/>
                <w:lang w:val="en-US" w:bidi="ar-SA"/>
              </w:rPr>
            </w:pPr>
            <w:r>
              <w:rPr>
                <w:rFonts w:hint="eastAsia" w:ascii="宋体" w:hAnsi="宋体" w:eastAsia="宋体" w:cs="宋体"/>
                <w:sz w:val="18"/>
                <w:szCs w:val="18"/>
                <w:lang w:val="en-US" w:bidi="ar-SA"/>
              </w:rPr>
              <w:t>投资于众多有价证券，能有效分散风险，风险相对适中，收益相对稳健</w:t>
            </w:r>
          </w:p>
        </w:tc>
        <w:tc>
          <w:tcPr>
            <w:tcW w:w="1906"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价格波动性大，高风险、高收益</w:t>
            </w:r>
          </w:p>
        </w:tc>
        <w:tc>
          <w:tcPr>
            <w:tcW w:w="1984" w:type="dxa"/>
            <w:tcBorders>
              <w:top w:val="single" w:color="auto" w:sz="8" w:space="0"/>
              <w:left w:val="single" w:color="auto" w:sz="8" w:space="0"/>
              <w:bottom w:val="nil"/>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价格波动较股票小，低风险、低收益</w:t>
            </w:r>
          </w:p>
        </w:tc>
        <w:tc>
          <w:tcPr>
            <w:tcW w:w="2095"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银行存款利率相对固定，损失本金的可能性很小，投资比较安全</w:t>
            </w:r>
          </w:p>
        </w:tc>
      </w:tr>
      <w:tr>
        <w:tblPrEx>
          <w:tblCellMar>
            <w:top w:w="0" w:type="dxa"/>
            <w:left w:w="108" w:type="dxa"/>
            <w:bottom w:w="0" w:type="dxa"/>
            <w:right w:w="108" w:type="dxa"/>
          </w:tblCellMar>
        </w:tblPrEx>
        <w:trPr>
          <w:trHeight w:val="475" w:hRule="atLeast"/>
          <w:jc w:val="center"/>
        </w:trPr>
        <w:tc>
          <w:tcPr>
            <w:tcW w:w="1110" w:type="dxa"/>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收益来源</w:t>
            </w:r>
          </w:p>
        </w:tc>
        <w:tc>
          <w:tcPr>
            <w:tcW w:w="0" w:type="auto"/>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利息收入、股利收入、资本利得</w:t>
            </w:r>
          </w:p>
        </w:tc>
        <w:tc>
          <w:tcPr>
            <w:tcW w:w="1906" w:type="dxa"/>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股利收入、资本利得</w:t>
            </w:r>
          </w:p>
        </w:tc>
        <w:tc>
          <w:tcPr>
            <w:tcW w:w="1984" w:type="dxa"/>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利息收入、资本利得</w:t>
            </w:r>
          </w:p>
        </w:tc>
        <w:tc>
          <w:tcPr>
            <w:tcW w:w="2095"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利息收入</w:t>
            </w:r>
          </w:p>
        </w:tc>
      </w:tr>
      <w:tr>
        <w:tblPrEx>
          <w:tblCellMar>
            <w:top w:w="0" w:type="dxa"/>
            <w:left w:w="108" w:type="dxa"/>
            <w:bottom w:w="0" w:type="dxa"/>
            <w:right w:w="108" w:type="dxa"/>
          </w:tblCellMar>
        </w:tblPrEx>
        <w:trPr>
          <w:trHeight w:val="539" w:hRule="atLeast"/>
          <w:jc w:val="center"/>
        </w:trPr>
        <w:tc>
          <w:tcPr>
            <w:tcW w:w="1110" w:type="dxa"/>
            <w:tcBorders>
              <w:top w:val="nil"/>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投资渠道</w:t>
            </w:r>
          </w:p>
        </w:tc>
        <w:tc>
          <w:tcPr>
            <w:tcW w:w="0" w:type="auto"/>
            <w:tcBorders>
              <w:top w:val="nil"/>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基金管理公司及银行、证券公司等</w:t>
            </w:r>
          </w:p>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代销机构</w:t>
            </w:r>
          </w:p>
        </w:tc>
        <w:tc>
          <w:tcPr>
            <w:tcW w:w="1906" w:type="dxa"/>
            <w:tcBorders>
              <w:top w:val="nil"/>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证券公司</w:t>
            </w:r>
          </w:p>
        </w:tc>
        <w:tc>
          <w:tcPr>
            <w:tcW w:w="1984" w:type="dxa"/>
            <w:tcBorders>
              <w:top w:val="nil"/>
              <w:left w:val="single" w:color="auto" w:sz="8" w:space="0"/>
              <w:bottom w:val="single" w:color="auto" w:sz="8" w:space="0"/>
              <w:right w:val="nil"/>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债券发行机构、证券公司及银行等代销机构</w:t>
            </w:r>
          </w:p>
        </w:tc>
        <w:tc>
          <w:tcPr>
            <w:tcW w:w="2095"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sz w:val="18"/>
                <w:szCs w:val="18"/>
                <w:lang w:val="en-US" w:bidi="ar-SA"/>
              </w:rPr>
            </w:pPr>
            <w:r>
              <w:rPr>
                <w:rFonts w:hint="eastAsia" w:ascii="宋体" w:hAnsi="宋体" w:eastAsia="宋体" w:cs="宋体"/>
                <w:sz w:val="18"/>
                <w:szCs w:val="18"/>
                <w:lang w:val="en-US" w:bidi="ar-SA"/>
              </w:rPr>
              <w:t>银行、信用社</w:t>
            </w:r>
          </w:p>
        </w:tc>
      </w:tr>
    </w:tbl>
    <w:p>
      <w:pPr>
        <w:spacing w:line="360" w:lineRule="auto"/>
        <w:ind w:right="-240" w:rightChars="-100"/>
        <w:rPr>
          <w:rFonts w:ascii="宋体" w:hAnsi="宋体" w:eastAsia="宋体" w:cs="微软雅黑"/>
          <w:b/>
          <w:sz w:val="18"/>
        </w:rPr>
      </w:pPr>
      <w:r>
        <w:rPr>
          <w:rFonts w:ascii="宋体" w:hAnsi="宋体" w:eastAsia="宋体" w:cs="微软雅黑"/>
          <w:b/>
          <w:sz w:val="18"/>
        </w:rPr>
        <w:t>3、基金的分类</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（1）</w:t>
      </w:r>
      <w:r>
        <w:rPr>
          <w:rFonts w:ascii="宋体" w:hAnsi="宋体" w:eastAsia="宋体" w:cs="微软雅黑"/>
          <w:sz w:val="18"/>
        </w:rPr>
        <w:t>依据运作方式的不同，可分为封闭式基金与开放式基金。</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封闭式基金是指基金份额在基金合同期限内固定不变，基金份额可以在依法设立的证券交易所交易，但基金份额持有人不得申请赎回的一种基金运作方式。</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开放式基金是指基金份额不固定，基金份额可以在基金合同约定的时间和场所进行申购和赎回的一种基金运作方式。</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（2）</w:t>
      </w:r>
      <w:r>
        <w:rPr>
          <w:rFonts w:ascii="宋体" w:hAnsi="宋体" w:eastAsia="宋体" w:cs="微软雅黑"/>
          <w:sz w:val="18"/>
        </w:rPr>
        <w:t>依据投资对象的不同，可分为股票基金、债券基金、货币市场基金、混合基金。</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根据《证券投资基金运作管理办法》对基金类别的分类标准，80%以上的基金资产投资于股票的为股票基金；80%以上的基金资产投资于债券的为债券基金；仅投资于货币市场工具的为货币市场基金；投资于股票、债券和货币市场工具，但股票投资和债券投资的比例不符合股票基金、债券基金规定的为混合基金。</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这些基金类别按收益和风险由高到低的排列顺序为：股票基金、混合基金、债券基金、货币市场基金，即股票基金的风险和收益最高，货币市场基金的风险和收益最低。</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（3）</w:t>
      </w:r>
      <w:r>
        <w:rPr>
          <w:rFonts w:ascii="宋体" w:hAnsi="宋体" w:eastAsia="宋体" w:cs="微软雅黑"/>
          <w:sz w:val="18"/>
        </w:rPr>
        <w:t>特殊类型基金</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fldChar w:fldCharType="begin"/>
      </w:r>
      <w:r>
        <w:rPr>
          <w:rFonts w:ascii="宋体" w:hAnsi="宋体" w:eastAsia="宋体" w:cs="微软雅黑"/>
          <w:sz w:val="18"/>
        </w:rPr>
        <w:instrText xml:space="preserve"> </w:instrText>
      </w:r>
      <w:r>
        <w:rPr>
          <w:rFonts w:hint="eastAsia" w:ascii="宋体" w:hAnsi="宋体" w:eastAsia="宋体" w:cs="微软雅黑"/>
          <w:sz w:val="18"/>
        </w:rPr>
        <w:instrText xml:space="preserve">= 1 \* GB3</w:instrText>
      </w:r>
      <w:r>
        <w:rPr>
          <w:rFonts w:ascii="宋体" w:hAnsi="宋体" w:eastAsia="宋体" w:cs="微软雅黑"/>
          <w:sz w:val="18"/>
        </w:rPr>
        <w:instrText xml:space="preserve"> </w:instrText>
      </w:r>
      <w:r>
        <w:rPr>
          <w:rFonts w:ascii="宋体" w:hAnsi="宋体" w:eastAsia="宋体" w:cs="微软雅黑"/>
          <w:sz w:val="18"/>
        </w:rPr>
        <w:fldChar w:fldCharType="separate"/>
      </w:r>
      <w:r>
        <w:rPr>
          <w:rFonts w:hint="eastAsia" w:ascii="宋体" w:hAnsi="宋体" w:eastAsia="宋体" w:cs="微软雅黑"/>
          <w:sz w:val="18"/>
        </w:rPr>
        <w:t>①</w:t>
      </w:r>
      <w:r>
        <w:rPr>
          <w:rFonts w:ascii="宋体" w:hAnsi="宋体" w:eastAsia="宋体" w:cs="微软雅黑"/>
          <w:sz w:val="18"/>
        </w:rPr>
        <w:fldChar w:fldCharType="end"/>
      </w:r>
      <w:r>
        <w:rPr>
          <w:rFonts w:ascii="宋体" w:hAnsi="宋体" w:eastAsia="宋体" w:cs="微软雅黑"/>
          <w:sz w:val="18"/>
        </w:rPr>
        <w:t>系列基金。又被称为伞型基金，是指多个基金共用一个基金合同，子基金独立运作，子基金之间可以进行相互转换的一种基金结构形式。</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fldChar w:fldCharType="begin"/>
      </w:r>
      <w:r>
        <w:rPr>
          <w:rFonts w:ascii="宋体" w:hAnsi="宋体" w:eastAsia="宋体" w:cs="微软雅黑"/>
          <w:sz w:val="18"/>
        </w:rPr>
        <w:instrText xml:space="preserve"> </w:instrText>
      </w:r>
      <w:r>
        <w:rPr>
          <w:rFonts w:hint="eastAsia" w:ascii="宋体" w:hAnsi="宋体" w:eastAsia="宋体" w:cs="微软雅黑"/>
          <w:sz w:val="18"/>
        </w:rPr>
        <w:instrText xml:space="preserve">= 2 \* GB3</w:instrText>
      </w:r>
      <w:r>
        <w:rPr>
          <w:rFonts w:ascii="宋体" w:hAnsi="宋体" w:eastAsia="宋体" w:cs="微软雅黑"/>
          <w:sz w:val="18"/>
        </w:rPr>
        <w:instrText xml:space="preserve"> </w:instrText>
      </w:r>
      <w:r>
        <w:rPr>
          <w:rFonts w:ascii="宋体" w:hAnsi="宋体" w:eastAsia="宋体" w:cs="微软雅黑"/>
          <w:sz w:val="18"/>
        </w:rPr>
        <w:fldChar w:fldCharType="separate"/>
      </w:r>
      <w:r>
        <w:rPr>
          <w:rFonts w:hint="eastAsia" w:ascii="宋体" w:hAnsi="宋体" w:eastAsia="宋体" w:cs="微软雅黑"/>
          <w:sz w:val="18"/>
        </w:rPr>
        <w:t>②</w:t>
      </w:r>
      <w:r>
        <w:rPr>
          <w:rFonts w:ascii="宋体" w:hAnsi="宋体" w:eastAsia="宋体" w:cs="微软雅黑"/>
          <w:sz w:val="18"/>
        </w:rPr>
        <w:fldChar w:fldCharType="end"/>
      </w:r>
      <w:r>
        <w:rPr>
          <w:rFonts w:ascii="宋体" w:hAnsi="宋体" w:eastAsia="宋体" w:cs="微软雅黑"/>
          <w:sz w:val="18"/>
        </w:rPr>
        <w:t>交易型开放式指数基金(ETF)与ETF联接基金。交易型开放式指数基金，通常又被称为交易所交易基金(Exchange</w:t>
      </w:r>
      <w:r>
        <w:rPr>
          <w:rFonts w:hint="eastAsia" w:ascii="宋体" w:hAnsi="宋体" w:eastAsia="宋体" w:cs="微软雅黑"/>
          <w:sz w:val="18"/>
        </w:rPr>
        <w:t xml:space="preserve"> </w:t>
      </w:r>
      <w:r>
        <w:rPr>
          <w:rFonts w:ascii="宋体" w:hAnsi="宋体" w:eastAsia="宋体" w:cs="微软雅黑"/>
          <w:sz w:val="18"/>
        </w:rPr>
        <w:t>Traded</w:t>
      </w:r>
      <w:r>
        <w:rPr>
          <w:rFonts w:hint="eastAsia" w:ascii="宋体" w:hAnsi="宋体" w:eastAsia="宋体" w:cs="微软雅黑"/>
          <w:sz w:val="18"/>
        </w:rPr>
        <w:t xml:space="preserve"> </w:t>
      </w:r>
      <w:r>
        <w:rPr>
          <w:rFonts w:ascii="宋体" w:hAnsi="宋体" w:eastAsia="宋体" w:cs="微软雅黑"/>
          <w:sz w:val="18"/>
        </w:rPr>
        <w:t>Funds，简称</w:t>
      </w:r>
      <w:r>
        <w:rPr>
          <w:rFonts w:hint="eastAsia" w:ascii="宋体" w:hAnsi="宋体" w:eastAsia="宋体" w:cs="微软雅黑"/>
          <w:sz w:val="18"/>
        </w:rPr>
        <w:t>“</w:t>
      </w:r>
      <w:r>
        <w:rPr>
          <w:rFonts w:ascii="宋体" w:hAnsi="宋体" w:eastAsia="宋体" w:cs="微软雅黑"/>
          <w:sz w:val="18"/>
        </w:rPr>
        <w:t>ETF”)，是一种在交易所上市交易的、基金份额可变的一种开放式基金。它结合了开放式基金和封闭式基金的运作特点，其份额可以在二级市场买卖，也可以申购、赎回。但是，由于它的申购是用一篮子成份券换取基金份额，赎回也</w:t>
      </w:r>
      <w:bookmarkStart w:id="0" w:name="_GoBack"/>
      <w:bookmarkEnd w:id="0"/>
      <w:r>
        <w:rPr>
          <w:rFonts w:ascii="宋体" w:hAnsi="宋体" w:eastAsia="宋体" w:cs="微软雅黑"/>
          <w:sz w:val="18"/>
        </w:rPr>
        <w:t>是换回一篮子成份券而非现金。为方便未参与二级市场交易的投资者，就诞生了</w:t>
      </w:r>
      <w:r>
        <w:rPr>
          <w:rFonts w:hint="eastAsia" w:ascii="宋体" w:hAnsi="宋体" w:eastAsia="宋体" w:cs="微软雅黑"/>
          <w:sz w:val="18"/>
        </w:rPr>
        <w:t>“</w:t>
      </w:r>
      <w:r>
        <w:rPr>
          <w:rFonts w:ascii="宋体" w:hAnsi="宋体" w:eastAsia="宋体" w:cs="微软雅黑"/>
          <w:sz w:val="18"/>
        </w:rPr>
        <w:t>ETF联接基金</w:t>
      </w:r>
      <w:r>
        <w:rPr>
          <w:rFonts w:hint="eastAsia" w:ascii="宋体" w:hAnsi="宋体" w:eastAsia="宋体" w:cs="微软雅黑"/>
          <w:sz w:val="18"/>
        </w:rPr>
        <w:t>”</w:t>
      </w:r>
      <w:r>
        <w:rPr>
          <w:rFonts w:ascii="宋体" w:hAnsi="宋体" w:eastAsia="宋体" w:cs="微软雅黑"/>
          <w:sz w:val="18"/>
        </w:rPr>
        <w:t>，这种基金将90%以上的资产投资于目标ETF，采用开放式运作方式并在场外申购或赎回。</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fldChar w:fldCharType="begin"/>
      </w:r>
      <w:r>
        <w:rPr>
          <w:rFonts w:ascii="宋体" w:hAnsi="宋体" w:eastAsia="宋体" w:cs="微软雅黑"/>
          <w:sz w:val="18"/>
        </w:rPr>
        <w:instrText xml:space="preserve"> </w:instrText>
      </w:r>
      <w:r>
        <w:rPr>
          <w:rFonts w:hint="eastAsia" w:ascii="宋体" w:hAnsi="宋体" w:eastAsia="宋体" w:cs="微软雅黑"/>
          <w:sz w:val="18"/>
        </w:rPr>
        <w:instrText xml:space="preserve">= 3 \* GB3</w:instrText>
      </w:r>
      <w:r>
        <w:rPr>
          <w:rFonts w:ascii="宋体" w:hAnsi="宋体" w:eastAsia="宋体" w:cs="微软雅黑"/>
          <w:sz w:val="18"/>
        </w:rPr>
        <w:instrText xml:space="preserve"> </w:instrText>
      </w:r>
      <w:r>
        <w:rPr>
          <w:rFonts w:ascii="宋体" w:hAnsi="宋体" w:eastAsia="宋体" w:cs="微软雅黑"/>
          <w:sz w:val="18"/>
        </w:rPr>
        <w:fldChar w:fldCharType="separate"/>
      </w:r>
      <w:r>
        <w:rPr>
          <w:rFonts w:hint="eastAsia" w:ascii="宋体" w:hAnsi="宋体" w:eastAsia="宋体" w:cs="微软雅黑"/>
          <w:sz w:val="18"/>
        </w:rPr>
        <w:t>③</w:t>
      </w:r>
      <w:r>
        <w:rPr>
          <w:rFonts w:ascii="宋体" w:hAnsi="宋体" w:eastAsia="宋体" w:cs="微软雅黑"/>
          <w:sz w:val="18"/>
        </w:rPr>
        <w:fldChar w:fldCharType="end"/>
      </w:r>
      <w:r>
        <w:rPr>
          <w:rFonts w:ascii="宋体" w:hAnsi="宋体" w:eastAsia="宋体" w:cs="微软雅黑"/>
          <w:sz w:val="18"/>
        </w:rPr>
        <w:t>上市开放式基金(Listed</w:t>
      </w:r>
      <w:r>
        <w:rPr>
          <w:rFonts w:hint="eastAsia" w:ascii="宋体" w:hAnsi="宋体" w:eastAsia="宋体" w:cs="微软雅黑"/>
          <w:sz w:val="18"/>
        </w:rPr>
        <w:t xml:space="preserve"> </w:t>
      </w:r>
      <w:r>
        <w:rPr>
          <w:rFonts w:ascii="宋体" w:hAnsi="宋体" w:eastAsia="宋体" w:cs="微软雅黑"/>
          <w:sz w:val="18"/>
        </w:rPr>
        <w:t>Open-ended</w:t>
      </w:r>
      <w:r>
        <w:rPr>
          <w:rFonts w:hint="eastAsia" w:ascii="宋体" w:hAnsi="宋体" w:eastAsia="宋体" w:cs="微软雅黑"/>
          <w:sz w:val="18"/>
        </w:rPr>
        <w:t xml:space="preserve"> </w:t>
      </w:r>
      <w:r>
        <w:rPr>
          <w:rFonts w:ascii="宋体" w:hAnsi="宋体" w:eastAsia="宋体" w:cs="微软雅黑"/>
          <w:sz w:val="18"/>
        </w:rPr>
        <w:t>Funds,简称</w:t>
      </w:r>
      <w:r>
        <w:rPr>
          <w:rFonts w:hint="eastAsia" w:ascii="宋体" w:hAnsi="宋体" w:eastAsia="宋体" w:cs="微软雅黑"/>
          <w:sz w:val="18"/>
        </w:rPr>
        <w:t>“</w:t>
      </w:r>
      <w:r>
        <w:rPr>
          <w:rFonts w:ascii="宋体" w:hAnsi="宋体" w:eastAsia="宋体" w:cs="微软雅黑"/>
          <w:sz w:val="18"/>
        </w:rPr>
        <w:t>L0F</w:t>
      </w:r>
      <w:r>
        <w:rPr>
          <w:rFonts w:hint="eastAsia" w:ascii="宋体" w:hAnsi="宋体" w:eastAsia="宋体" w:cs="微软雅黑"/>
          <w:sz w:val="18"/>
        </w:rPr>
        <w:t>”</w:t>
      </w:r>
      <w:r>
        <w:rPr>
          <w:rFonts w:ascii="宋体" w:hAnsi="宋体" w:eastAsia="宋体" w:cs="微软雅黑"/>
          <w:sz w:val="18"/>
        </w:rPr>
        <w:t>)是一种既可以在场外市场进行基金份额申购赎回，又可以在交易所（场内市场）进行基金份额交易、申购或赎回的开放式基金。</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fldChar w:fldCharType="begin"/>
      </w:r>
      <w:r>
        <w:rPr>
          <w:rFonts w:ascii="宋体" w:hAnsi="宋体" w:eastAsia="宋体" w:cs="微软雅黑"/>
          <w:sz w:val="18"/>
        </w:rPr>
        <w:instrText xml:space="preserve"> </w:instrText>
      </w:r>
      <w:r>
        <w:rPr>
          <w:rFonts w:hint="eastAsia" w:ascii="宋体" w:hAnsi="宋体" w:eastAsia="宋体" w:cs="微软雅黑"/>
          <w:sz w:val="18"/>
        </w:rPr>
        <w:instrText xml:space="preserve">= 4 \* GB3</w:instrText>
      </w:r>
      <w:r>
        <w:rPr>
          <w:rFonts w:ascii="宋体" w:hAnsi="宋体" w:eastAsia="宋体" w:cs="微软雅黑"/>
          <w:sz w:val="18"/>
        </w:rPr>
        <w:instrText xml:space="preserve"> </w:instrText>
      </w:r>
      <w:r>
        <w:rPr>
          <w:rFonts w:ascii="宋体" w:hAnsi="宋体" w:eastAsia="宋体" w:cs="微软雅黑"/>
          <w:sz w:val="18"/>
        </w:rPr>
        <w:fldChar w:fldCharType="separate"/>
      </w:r>
      <w:r>
        <w:rPr>
          <w:rFonts w:hint="eastAsia" w:ascii="宋体" w:hAnsi="宋体" w:eastAsia="宋体" w:cs="微软雅黑"/>
          <w:sz w:val="18"/>
        </w:rPr>
        <w:t>④</w:t>
      </w:r>
      <w:r>
        <w:rPr>
          <w:rFonts w:ascii="宋体" w:hAnsi="宋体" w:eastAsia="宋体" w:cs="微软雅黑"/>
          <w:sz w:val="18"/>
        </w:rPr>
        <w:fldChar w:fldCharType="end"/>
      </w:r>
      <w:r>
        <w:rPr>
          <w:rFonts w:ascii="宋体" w:hAnsi="宋体" w:eastAsia="宋体" w:cs="微软雅黑"/>
          <w:sz w:val="18"/>
        </w:rPr>
        <w:t>QDII基金。QDII是Qualified</w:t>
      </w:r>
      <w:r>
        <w:rPr>
          <w:rFonts w:hint="eastAsia" w:ascii="宋体" w:hAnsi="宋体" w:eastAsia="宋体" w:cs="微软雅黑"/>
          <w:sz w:val="18"/>
        </w:rPr>
        <w:t xml:space="preserve"> </w:t>
      </w:r>
      <w:r>
        <w:rPr>
          <w:rFonts w:ascii="宋体" w:hAnsi="宋体" w:eastAsia="宋体" w:cs="微软雅黑"/>
          <w:sz w:val="18"/>
        </w:rPr>
        <w:t>Domestic</w:t>
      </w:r>
      <w:r>
        <w:rPr>
          <w:rFonts w:hint="eastAsia" w:ascii="宋体" w:hAnsi="宋体" w:eastAsia="宋体" w:cs="微软雅黑"/>
          <w:sz w:val="18"/>
        </w:rPr>
        <w:t xml:space="preserve"> </w:t>
      </w:r>
      <w:r>
        <w:rPr>
          <w:rFonts w:ascii="宋体" w:hAnsi="宋体" w:eastAsia="宋体" w:cs="微软雅黑"/>
          <w:sz w:val="18"/>
        </w:rPr>
        <w:t>Institutional</w:t>
      </w:r>
      <w:r>
        <w:rPr>
          <w:rFonts w:hint="eastAsia" w:ascii="宋体" w:hAnsi="宋体" w:eastAsia="宋体" w:cs="微软雅黑"/>
          <w:sz w:val="18"/>
        </w:rPr>
        <w:t xml:space="preserve"> I</w:t>
      </w:r>
      <w:r>
        <w:rPr>
          <w:rFonts w:ascii="宋体" w:hAnsi="宋体" w:eastAsia="宋体" w:cs="微软雅黑"/>
          <w:sz w:val="18"/>
        </w:rPr>
        <w:t>nvestors的首字母缩写。它是指在一国境内设立，经该国有关部门批准从事境外证券市场的股票、债券等有价证券投资的基金。它为国内投资者参与国际市场投资提供了便利。</w:t>
      </w:r>
    </w:p>
    <w:p>
      <w:pPr>
        <w:spacing w:line="360" w:lineRule="auto"/>
        <w:ind w:left="-720" w:leftChars="-300" w:right="-720" w:rightChars="-300" w:firstLine="360" w:firstLineChars="200"/>
        <w:rPr>
          <w:rFonts w:hint="eastAsia" w:ascii="宋体" w:hAnsi="宋体" w:eastAsia="宋体" w:cs="微软雅黑"/>
          <w:sz w:val="18"/>
        </w:rPr>
      </w:pPr>
      <w:r>
        <w:rPr>
          <w:rFonts w:ascii="宋体" w:hAnsi="宋体" w:eastAsia="宋体" w:cs="微软雅黑"/>
          <w:sz w:val="18"/>
        </w:rPr>
        <w:fldChar w:fldCharType="begin"/>
      </w:r>
      <w:r>
        <w:rPr>
          <w:rFonts w:ascii="宋体" w:hAnsi="宋体" w:eastAsia="宋体" w:cs="微软雅黑"/>
          <w:sz w:val="18"/>
        </w:rPr>
        <w:instrText xml:space="preserve"> </w:instrText>
      </w:r>
      <w:r>
        <w:rPr>
          <w:rFonts w:hint="eastAsia" w:ascii="宋体" w:hAnsi="宋体" w:eastAsia="宋体" w:cs="微软雅黑"/>
          <w:sz w:val="18"/>
        </w:rPr>
        <w:instrText xml:space="preserve">= 5 \* GB3</w:instrText>
      </w:r>
      <w:r>
        <w:rPr>
          <w:rFonts w:ascii="宋体" w:hAnsi="宋体" w:eastAsia="宋体" w:cs="微软雅黑"/>
          <w:sz w:val="18"/>
        </w:rPr>
        <w:instrText xml:space="preserve"> </w:instrText>
      </w:r>
      <w:r>
        <w:rPr>
          <w:rFonts w:ascii="宋体" w:hAnsi="宋体" w:eastAsia="宋体" w:cs="微软雅黑"/>
          <w:sz w:val="18"/>
        </w:rPr>
        <w:fldChar w:fldCharType="separate"/>
      </w:r>
      <w:r>
        <w:rPr>
          <w:rFonts w:hint="eastAsia" w:ascii="宋体" w:hAnsi="宋体" w:eastAsia="宋体" w:cs="微软雅黑"/>
          <w:sz w:val="18"/>
        </w:rPr>
        <w:t>⑤</w:t>
      </w:r>
      <w:r>
        <w:rPr>
          <w:rFonts w:ascii="宋体" w:hAnsi="宋体" w:eastAsia="宋体" w:cs="微软雅黑"/>
          <w:sz w:val="18"/>
        </w:rPr>
        <w:fldChar w:fldCharType="end"/>
      </w:r>
      <w:r>
        <w:rPr>
          <w:rFonts w:ascii="宋体" w:hAnsi="宋体" w:eastAsia="宋体" w:cs="微软雅黑"/>
          <w:sz w:val="18"/>
        </w:rPr>
        <w:t>分级基金。是指通过事先约定基金的风险收益分配，将基础份额分为预期风险收益不同的子份额，并可将其中部分或全部份额上市交易的结构化证券投资基</w:t>
      </w:r>
      <w:r>
        <w:rPr>
          <w:rFonts w:hint="eastAsia" w:ascii="宋体" w:hAnsi="宋体" w:eastAsia="宋体" w:cs="微软雅黑"/>
          <w:sz w:val="18"/>
        </w:rPr>
        <w:t>金。</w:t>
      </w:r>
    </w:p>
    <w:p>
      <w:pPr>
        <w:spacing w:line="360" w:lineRule="auto"/>
        <w:ind w:left="-720" w:leftChars="-300" w:right="-720" w:rightChars="-300" w:firstLine="360" w:firstLineChars="200"/>
        <w:rPr>
          <w:rFonts w:hint="default" w:ascii="宋体" w:hAnsi="宋体" w:eastAsia="宋体" w:cs="微软雅黑"/>
          <w:sz w:val="18"/>
          <w:lang w:val="en-US" w:eastAsia="zh-CN"/>
        </w:rPr>
      </w:pPr>
      <w:r>
        <w:rPr>
          <w:rFonts w:hint="eastAsia" w:ascii="宋体" w:hAnsi="宋体" w:eastAsia="宋体" w:cs="宋体"/>
          <w:sz w:val="18"/>
          <w:lang w:val="en-US" w:eastAsia="zh-CN"/>
        </w:rPr>
        <w:t>⑥</w:t>
      </w:r>
      <w:r>
        <w:rPr>
          <w:rFonts w:hint="eastAsia" w:ascii="宋体" w:hAnsi="宋体" w:eastAsia="宋体" w:cs="微软雅黑"/>
          <w:sz w:val="18"/>
          <w:lang w:val="en-US" w:eastAsia="zh-CN"/>
        </w:rPr>
        <w:t>FOF</w:t>
      </w:r>
      <w:r>
        <w:rPr>
          <w:rFonts w:ascii="宋体" w:hAnsi="宋体" w:eastAsia="宋体" w:cs="微软雅黑"/>
          <w:sz w:val="18"/>
        </w:rPr>
        <w:t>(Fund of Funds)</w:t>
      </w:r>
      <w:r>
        <w:rPr>
          <w:rFonts w:hint="eastAsia" w:ascii="宋体" w:hAnsi="宋体" w:eastAsia="宋体" w:cs="微软雅黑"/>
          <w:sz w:val="18"/>
          <w:lang w:eastAsia="zh-CN"/>
        </w:rPr>
        <w:t>基金。是指以其他证券投资基金为投资对象的基金，其投资组合由其他基金组成。</w:t>
      </w:r>
      <w:r>
        <w:rPr>
          <w:rFonts w:hint="eastAsia" w:ascii="宋体" w:hAnsi="宋体" w:eastAsia="宋体" w:cs="微软雅黑"/>
          <w:sz w:val="18"/>
          <w:lang w:val="en-US" w:eastAsia="zh-CN"/>
        </w:rPr>
        <w:t>2014年8月生效的《公开募集证券投资基金运作管理办法》中规定，80%以上的基金资产投资于其他基金份额的，为基金中基金。</w:t>
      </w:r>
    </w:p>
    <w:p>
      <w:pPr>
        <w:spacing w:line="360" w:lineRule="auto"/>
        <w:ind w:left="-720" w:leftChars="-300" w:right="-720" w:rightChars="-300" w:firstLine="361" w:firstLineChars="200"/>
        <w:rPr>
          <w:rFonts w:ascii="宋体" w:hAnsi="宋体" w:eastAsia="宋体" w:cs="微软雅黑"/>
          <w:b/>
          <w:sz w:val="18"/>
        </w:rPr>
      </w:pPr>
      <w:r>
        <w:rPr>
          <w:rFonts w:ascii="宋体" w:hAnsi="宋体" w:eastAsia="宋体" w:cs="微软雅黑"/>
          <w:b/>
          <w:sz w:val="18"/>
        </w:rPr>
        <w:t>4、基金评级</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基金评级是依据一定标准对基金产品进行分析从而做出优劣评价。投资人在投资基金时，可以适当参考基金评级结果，但切不可把基金评级作为选择基金的唯一依据。此外，基金评级是对基金管理人过往的业绩表现做出评价，并不代表基金未来长期业绩的表现</w:t>
      </w:r>
      <w:r>
        <w:rPr>
          <w:rFonts w:hint="eastAsia" w:ascii="宋体" w:hAnsi="宋体" w:eastAsia="宋体" w:cs="微软雅黑"/>
          <w:sz w:val="18"/>
        </w:rPr>
        <w:t>。</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我公司将根据销售适用性原则，对基金产品进行风险评价。</w:t>
      </w:r>
    </w:p>
    <w:p>
      <w:pPr>
        <w:spacing w:line="360" w:lineRule="auto"/>
        <w:ind w:left="-720" w:leftChars="-300" w:right="-720" w:rightChars="-300" w:firstLine="361" w:firstLineChars="200"/>
        <w:rPr>
          <w:rFonts w:ascii="宋体" w:hAnsi="宋体" w:eastAsia="宋体" w:cs="微软雅黑"/>
          <w:b/>
          <w:sz w:val="18"/>
        </w:rPr>
      </w:pPr>
      <w:r>
        <w:rPr>
          <w:rFonts w:ascii="宋体" w:hAnsi="宋体" w:eastAsia="宋体" w:cs="微软雅黑"/>
          <w:b/>
          <w:sz w:val="18"/>
        </w:rPr>
        <w:t>5、基金费用</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基金费用一般包括两大类：一类是在基金销售过程中发生的由基金投资人自己承担的费用，主要包括认购费、申购费、赎回费和基金转换费。这些费用一般直接在投资人认购、申购、赎回或转换时收取。其中申购费可在投资人购买基金时收取，即前端申购费；也可在投资人卖出基金时收取，即后端申购费，其费率一般按持有期限递减。另一类是在基金管理过程中发生的费用，主要包括基金管理费、基金托管费、信息披露费等，这些费用由基金资产承担。对于不收取申购、赎回费的货币市场基金和部分债券基金，还可按相关规定从基金资产中计提一定的销售服务费，专门用于本基金的销售和对基金持有人的服务。</w:t>
      </w:r>
      <w:r>
        <w:rPr>
          <w:rFonts w:hint="eastAsia" w:ascii="宋体" w:hAnsi="宋体" w:eastAsia="宋体" w:cs="微软雅黑"/>
          <w:sz w:val="18"/>
        </w:rPr>
        <w:t xml:space="preserve"> </w:t>
      </w:r>
    </w:p>
    <w:p>
      <w:pPr>
        <w:spacing w:line="360" w:lineRule="auto"/>
        <w:ind w:left="-720" w:leftChars="-300" w:right="-720" w:rightChars="-300"/>
        <w:rPr>
          <w:rFonts w:ascii="宋体" w:hAnsi="宋体" w:eastAsia="宋体" w:cs="微软雅黑"/>
          <w:b/>
          <w:sz w:val="20"/>
        </w:rPr>
      </w:pPr>
      <w:r>
        <w:rPr>
          <w:rFonts w:ascii="宋体" w:hAnsi="宋体" w:eastAsia="宋体" w:cs="微软雅黑"/>
          <w:b/>
          <w:sz w:val="20"/>
        </w:rPr>
        <w:t>二</w:t>
      </w:r>
      <w:r>
        <w:rPr>
          <w:rFonts w:hint="eastAsia" w:ascii="宋体" w:hAnsi="宋体" w:eastAsia="宋体" w:cs="微软雅黑"/>
          <w:b/>
          <w:sz w:val="20"/>
        </w:rPr>
        <w:t>、</w:t>
      </w:r>
      <w:r>
        <w:rPr>
          <w:rFonts w:ascii="宋体" w:hAnsi="宋体" w:eastAsia="宋体" w:cs="微软雅黑"/>
          <w:b/>
          <w:sz w:val="20"/>
        </w:rPr>
        <w:t>基金份额持有人的权利</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根据《证券投资基金法》的规定，基金份额持有人享有下列权利：</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1、</w:t>
      </w:r>
      <w:r>
        <w:rPr>
          <w:rFonts w:ascii="宋体" w:hAnsi="宋体" w:eastAsia="宋体" w:cs="微软雅黑"/>
          <w:sz w:val="18"/>
        </w:rPr>
        <w:t>分享基金财产收益；</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2、</w:t>
      </w:r>
      <w:r>
        <w:rPr>
          <w:rFonts w:ascii="宋体" w:hAnsi="宋体" w:eastAsia="宋体" w:cs="微软雅黑"/>
          <w:sz w:val="18"/>
        </w:rPr>
        <w:t>参与分配清算后的剩余基金财产；</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3、</w:t>
      </w:r>
      <w:r>
        <w:rPr>
          <w:rFonts w:ascii="宋体" w:hAnsi="宋体" w:eastAsia="宋体" w:cs="微软雅黑"/>
          <w:sz w:val="18"/>
        </w:rPr>
        <w:t>依法转让或者申请赎回其持有的基金份额；</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4、</w:t>
      </w:r>
      <w:r>
        <w:rPr>
          <w:rFonts w:ascii="宋体" w:hAnsi="宋体" w:eastAsia="宋体" w:cs="微软雅黑"/>
          <w:sz w:val="18"/>
        </w:rPr>
        <w:t>按照规定要求召开基金份额持有人大会或者召集基金份额持有人大会</w:t>
      </w:r>
      <w:r>
        <w:rPr>
          <w:rFonts w:hint="eastAsia" w:ascii="宋体" w:hAnsi="宋体" w:eastAsia="宋体" w:cs="微软雅黑"/>
          <w:sz w:val="18"/>
        </w:rPr>
        <w:t>；</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5、</w:t>
      </w:r>
      <w:r>
        <w:rPr>
          <w:rFonts w:ascii="宋体" w:hAnsi="宋体" w:eastAsia="宋体" w:cs="微软雅黑"/>
          <w:sz w:val="18"/>
        </w:rPr>
        <w:t>对基金份额持有人大会审议事项行使表决权；</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6、</w:t>
      </w:r>
      <w:r>
        <w:rPr>
          <w:rFonts w:ascii="宋体" w:hAnsi="宋体" w:eastAsia="宋体" w:cs="微软雅黑"/>
          <w:sz w:val="18"/>
        </w:rPr>
        <w:t>对基金管理人、基金托管人、基金服务机构损害其合法权益的行为依法提起诉讼；</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7、</w:t>
      </w:r>
      <w:r>
        <w:rPr>
          <w:rFonts w:ascii="宋体" w:hAnsi="宋体" w:eastAsia="宋体" w:cs="微软雅黑"/>
          <w:sz w:val="18"/>
        </w:rPr>
        <w:t>基金合同约定的其他权利。</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8、</w:t>
      </w:r>
      <w:r>
        <w:rPr>
          <w:rFonts w:ascii="宋体" w:hAnsi="宋体" w:eastAsia="宋体" w:cs="微软雅黑"/>
          <w:sz w:val="18"/>
        </w:rPr>
        <w:t>公开募集基金的基金份额持有人有权查阅或者复制公开披露的基金信息资料；</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9、</w:t>
      </w:r>
      <w:r>
        <w:rPr>
          <w:rFonts w:ascii="宋体" w:hAnsi="宋体" w:eastAsia="宋体" w:cs="微软雅黑"/>
          <w:sz w:val="18"/>
        </w:rPr>
        <w:t>非公开募集基金的基金份额持有人对涉及自身利益的情况，有权查阅基金的财务会计账簿等财务资料。</w:t>
      </w:r>
    </w:p>
    <w:p>
      <w:pPr>
        <w:spacing w:line="360" w:lineRule="auto"/>
        <w:ind w:left="-720" w:leftChars="-300" w:right="-720" w:rightChars="-300"/>
        <w:rPr>
          <w:rFonts w:ascii="宋体" w:hAnsi="宋体" w:eastAsia="宋体" w:cs="微软雅黑"/>
          <w:b/>
          <w:sz w:val="20"/>
        </w:rPr>
      </w:pPr>
      <w:r>
        <w:rPr>
          <w:rFonts w:ascii="宋体" w:hAnsi="宋体" w:eastAsia="宋体" w:cs="微软雅黑"/>
          <w:b/>
          <w:sz w:val="20"/>
        </w:rPr>
        <w:t xml:space="preserve">三、基金投资风险提示 </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1、</w:t>
      </w:r>
      <w:r>
        <w:rPr>
          <w:rFonts w:ascii="宋体" w:hAnsi="宋体" w:eastAsia="宋体" w:cs="微软雅黑"/>
          <w:sz w:val="18"/>
        </w:rPr>
        <w:t xml:space="preserve">证券投资基金是一种长期投资工具，其主要功能是分散投资，降低投资单一证券 所带来的个别风险。基金不同于银行储蓄和债券等能够提供固定收益预期的金融工具， 投资人购买基金，既可能按其持有份额分享基金投资所产生的收益，也可能承担基金投 资所带来的损失。 </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2、</w:t>
      </w:r>
      <w:r>
        <w:rPr>
          <w:rFonts w:ascii="宋体" w:hAnsi="宋体" w:eastAsia="宋体" w:cs="微软雅黑"/>
          <w:sz w:val="18"/>
        </w:rPr>
        <w:t xml:space="preserve"> 基金在投资运作过程中可能面临各种风险，既包括市场风险，也包括基金自身的 管理风险、技术风险和合规风险等。巨额赎回风险是开放式基金所特有的一种风险，即 当单个交易日基金的净赎回申请超过基金总份额的百分之十时，投资人将可能无法及时 赎回持有的全部基金份额。</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3、</w:t>
      </w:r>
      <w:r>
        <w:rPr>
          <w:rFonts w:ascii="宋体" w:hAnsi="宋体" w:eastAsia="宋体" w:cs="微软雅黑"/>
          <w:sz w:val="18"/>
        </w:rPr>
        <w:t xml:space="preserve"> 基金投资人应当充分了解基金定期定额投资和零存整取等储蓄方式的区别。定期 定额投资是引导投资人进行长期投资、平均投资成本的一种简单易行的投资方式，但并 不能规避基金投资所固有的风险，不能保证投资人获得收益，也不是替代储蓄的等效理 财方式。 </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4、</w:t>
      </w:r>
      <w:r>
        <w:rPr>
          <w:rFonts w:ascii="宋体" w:hAnsi="宋体" w:eastAsia="宋体" w:cs="微软雅黑"/>
          <w:sz w:val="18"/>
        </w:rPr>
        <w:t xml:space="preserve"> 基金管理人承诺以诚实守信、勤勉尽责的原则管理和运用基金资产，但不保证旗 下基金一定盈利，也不保证最低收益。旗下基金的过往业绩及其净值高低并不预示其未 来业绩表现。基金管理人提醒投资人基金投资的“买者自负”原则，在做出投资决策后， 基金运营状况与基金净值变化引致的投资风险，由投资人自行负担。</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5、</w:t>
      </w:r>
      <w:r>
        <w:rPr>
          <w:rFonts w:ascii="宋体" w:hAnsi="宋体" w:eastAsia="宋体" w:cs="微软雅黑"/>
          <w:sz w:val="18"/>
        </w:rPr>
        <w:t>本公司将对基金投资人的风险承受能力进行调查和评价，并根据基金投资人的风 险承受能力推荐相应的基金品种，但本公司所做的推荐仅供投资人参考，投资人应根据 自身风险承受能力选择基金产品并自行承担投资基金的风险。</w:t>
      </w:r>
    </w:p>
    <w:p>
      <w:pPr>
        <w:spacing w:line="360" w:lineRule="auto"/>
        <w:ind w:left="-720" w:leftChars="-300" w:right="-720" w:rightChars="-300"/>
        <w:rPr>
          <w:rFonts w:ascii="宋体" w:hAnsi="宋体" w:eastAsia="宋体" w:cs="微软雅黑"/>
          <w:b/>
          <w:sz w:val="20"/>
        </w:rPr>
      </w:pPr>
      <w:r>
        <w:rPr>
          <w:rFonts w:hint="eastAsia" w:ascii="宋体" w:hAnsi="宋体" w:eastAsia="宋体" w:cs="微软雅黑"/>
          <w:b/>
          <w:sz w:val="20"/>
        </w:rPr>
        <w:t>四</w:t>
      </w:r>
      <w:r>
        <w:rPr>
          <w:rFonts w:ascii="宋体" w:hAnsi="宋体" w:eastAsia="宋体" w:cs="微软雅黑"/>
          <w:b/>
          <w:sz w:val="20"/>
        </w:rPr>
        <w:t>、投诉处理和联系方式</w:t>
      </w:r>
    </w:p>
    <w:p>
      <w:pPr>
        <w:spacing w:line="360" w:lineRule="auto"/>
        <w:ind w:left="-720" w:leftChars="-300" w:right="-720" w:rightChars="-300" w:firstLine="361" w:firstLineChars="200"/>
        <w:rPr>
          <w:rFonts w:ascii="宋体" w:hAnsi="宋体" w:eastAsia="宋体" w:cs="微软雅黑"/>
          <w:b/>
          <w:sz w:val="18"/>
        </w:rPr>
      </w:pPr>
      <w:r>
        <w:rPr>
          <w:rFonts w:ascii="宋体" w:hAnsi="宋体" w:eastAsia="宋体" w:cs="微软雅黑"/>
          <w:b/>
          <w:sz w:val="18"/>
        </w:rPr>
        <w:t>1</w:t>
      </w:r>
      <w:r>
        <w:rPr>
          <w:rFonts w:hint="eastAsia" w:ascii="宋体" w:hAnsi="宋体" w:eastAsia="宋体" w:cs="微软雅黑"/>
          <w:b/>
          <w:sz w:val="18"/>
        </w:rPr>
        <w:t>、</w:t>
      </w:r>
      <w:r>
        <w:rPr>
          <w:rFonts w:ascii="宋体" w:hAnsi="宋体" w:eastAsia="宋体" w:cs="微软雅黑"/>
          <w:b/>
          <w:sz w:val="18"/>
        </w:rPr>
        <w:t>投诉方式</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投资人如果对我公司销售服务、网站、服务及时性、服务质量等方面有不满意的地方，或者由于其他因素造成的不满意，通过其他渠道无法解决或没有及时解决，可以通过我司客服热线、电子邮件、客户来函等渠道进行投诉，客服部门负责接待和受理，并跟踪处理过程与结果回复。对于工作日受理的投诉，在3个工作日内回复。对于非工作日受理的投诉，原则顺延到第一个工作日</w:t>
      </w:r>
      <w:r>
        <w:rPr>
          <w:rFonts w:hint="eastAsia" w:ascii="宋体" w:hAnsi="宋体" w:eastAsia="宋体" w:cs="微软雅黑"/>
          <w:sz w:val="18"/>
        </w:rPr>
        <w:t>起3个工作日内</w:t>
      </w:r>
      <w:r>
        <w:rPr>
          <w:rFonts w:ascii="宋体" w:hAnsi="宋体" w:eastAsia="宋体" w:cs="微软雅黑"/>
          <w:sz w:val="18"/>
        </w:rPr>
        <w:t>回复。</w:t>
      </w:r>
    </w:p>
    <w:p>
      <w:pPr>
        <w:spacing w:line="360" w:lineRule="auto"/>
        <w:ind w:left="-720" w:leftChars="-300" w:right="-720" w:rightChars="-300" w:firstLine="361" w:firstLineChars="200"/>
        <w:rPr>
          <w:rFonts w:ascii="宋体" w:hAnsi="宋体" w:eastAsia="宋体" w:cs="微软雅黑"/>
          <w:b/>
          <w:sz w:val="18"/>
        </w:rPr>
      </w:pPr>
      <w:r>
        <w:rPr>
          <w:rFonts w:hint="eastAsia" w:ascii="宋体" w:hAnsi="宋体" w:eastAsia="宋体" w:cs="微软雅黑"/>
          <w:b/>
          <w:sz w:val="18"/>
        </w:rPr>
        <w:t>2、</w:t>
      </w:r>
      <w:r>
        <w:rPr>
          <w:rFonts w:ascii="宋体" w:hAnsi="宋体" w:eastAsia="宋体" w:cs="微软雅黑"/>
          <w:b/>
          <w:sz w:val="18"/>
        </w:rPr>
        <w:t>投诉受理程序</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（1）</w:t>
      </w:r>
      <w:r>
        <w:rPr>
          <w:rFonts w:ascii="宋体" w:hAnsi="宋体" w:eastAsia="宋体" w:cs="微软雅黑"/>
          <w:sz w:val="18"/>
        </w:rPr>
        <w:t>投资人通过各种渠道提交的投诉，由我司客户服务中心统一受理；</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（2）</w:t>
      </w:r>
      <w:r>
        <w:rPr>
          <w:rFonts w:ascii="宋体" w:hAnsi="宋体" w:eastAsia="宋体" w:cs="微软雅黑"/>
          <w:sz w:val="18"/>
        </w:rPr>
        <w:t>客户服务中心负责详细记录客户投诉内容和投诉人详细个人信息；</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（3）</w:t>
      </w:r>
      <w:r>
        <w:rPr>
          <w:rFonts w:ascii="宋体" w:hAnsi="宋体" w:eastAsia="宋体" w:cs="微软雅黑"/>
          <w:sz w:val="18"/>
        </w:rPr>
        <w:t>客户服务中心负责核实投诉人投诉内容的真实性；</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（4）</w:t>
      </w:r>
      <w:r>
        <w:rPr>
          <w:rFonts w:ascii="宋体" w:hAnsi="宋体" w:eastAsia="宋体" w:cs="微软雅黑"/>
          <w:sz w:val="18"/>
        </w:rPr>
        <w:t>客户服务中心负责对不同的投诉内容进行分类；</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（5）</w:t>
      </w:r>
      <w:r>
        <w:rPr>
          <w:rFonts w:ascii="宋体" w:hAnsi="宋体" w:eastAsia="宋体" w:cs="微软雅黑"/>
          <w:sz w:val="18"/>
        </w:rPr>
        <w:t>对于由于投资人对注册登记业务规则误解造成的投诉，由客户服务中心负责详细解释；</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（6）</w:t>
      </w:r>
      <w:r>
        <w:rPr>
          <w:rFonts w:ascii="宋体" w:hAnsi="宋体" w:eastAsia="宋体" w:cs="微软雅黑"/>
          <w:sz w:val="18"/>
        </w:rPr>
        <w:t>在投诉处理过程中，由客户服务中心负责与投资人及时进行信息沟通；</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（7）</w:t>
      </w:r>
      <w:r>
        <w:rPr>
          <w:rFonts w:ascii="宋体" w:hAnsi="宋体" w:eastAsia="宋体" w:cs="微软雅黑"/>
          <w:sz w:val="18"/>
        </w:rPr>
        <w:t>客户服务中心负责在约定答复时间内回复投资人的投诉；</w:t>
      </w:r>
    </w:p>
    <w:p>
      <w:pPr>
        <w:spacing w:line="360" w:lineRule="auto"/>
        <w:ind w:left="-720" w:leftChars="-300" w:right="-720" w:rightChars="-300" w:firstLine="360" w:firstLineChars="200"/>
        <w:rPr>
          <w:rFonts w:ascii="宋体" w:hAnsi="宋体" w:eastAsia="宋体" w:cs="微软雅黑"/>
          <w:sz w:val="18"/>
        </w:rPr>
      </w:pPr>
      <w:r>
        <w:rPr>
          <w:rFonts w:hint="eastAsia" w:ascii="宋体" w:hAnsi="宋体" w:eastAsia="宋体" w:cs="微软雅黑"/>
          <w:sz w:val="18"/>
        </w:rPr>
        <w:t>（8）</w:t>
      </w:r>
      <w:r>
        <w:rPr>
          <w:rFonts w:ascii="宋体" w:hAnsi="宋体" w:eastAsia="宋体" w:cs="微软雅黑"/>
          <w:sz w:val="18"/>
        </w:rPr>
        <w:t>客户服务中心负责完整登记整个投诉处理过程及处理结果。</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投资人也可通过书信、电话、电子邮件等方式，向中国证监会和中国证券业协会投诉。联系方式如下：</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中国证监会</w:t>
      </w:r>
      <w:r>
        <w:rPr>
          <w:rFonts w:hint="eastAsia" w:ascii="宋体" w:hAnsi="宋体" w:eastAsia="宋体" w:cs="微软雅黑"/>
          <w:sz w:val="18"/>
        </w:rPr>
        <w:t>江苏</w:t>
      </w:r>
      <w:r>
        <w:rPr>
          <w:rFonts w:ascii="宋体" w:hAnsi="宋体" w:eastAsia="宋体" w:cs="微软雅黑"/>
          <w:sz w:val="18"/>
        </w:rPr>
        <w:t>监管局：网址：www.csrc.gov.cn/pub/</w:t>
      </w:r>
      <w:r>
        <w:rPr>
          <w:rFonts w:hint="eastAsia" w:ascii="宋体" w:hAnsi="宋体" w:eastAsia="宋体" w:cs="微软雅黑"/>
          <w:sz w:val="18"/>
        </w:rPr>
        <w:t>jiangsu</w:t>
      </w:r>
      <w:r>
        <w:rPr>
          <w:rFonts w:ascii="宋体" w:hAnsi="宋体" w:eastAsia="宋体" w:cs="微软雅黑"/>
          <w:sz w:val="18"/>
        </w:rPr>
        <w:t>，电子邮箱：</w:t>
      </w:r>
      <w:r>
        <w:rPr>
          <w:rFonts w:hint="eastAsia" w:ascii="宋体" w:hAnsi="宋体" w:eastAsia="宋体" w:cs="微软雅黑"/>
          <w:sz w:val="18"/>
        </w:rPr>
        <w:t>jiangsu@csrc.gov.cn</w:t>
      </w:r>
      <w:r>
        <w:rPr>
          <w:rFonts w:ascii="宋体" w:hAnsi="宋体" w:eastAsia="宋体" w:cs="微软雅黑"/>
          <w:sz w:val="18"/>
        </w:rPr>
        <w:t>，联系电话：</w:t>
      </w:r>
      <w:r>
        <w:rPr>
          <w:rFonts w:hint="eastAsia" w:ascii="宋体" w:hAnsi="宋体" w:eastAsia="宋体" w:cs="微软雅黑"/>
          <w:sz w:val="18"/>
        </w:rPr>
        <w:t>025-84575515</w:t>
      </w:r>
      <w:r>
        <w:rPr>
          <w:rFonts w:ascii="宋体" w:hAnsi="宋体" w:eastAsia="宋体" w:cs="微软雅黑"/>
          <w:sz w:val="18"/>
        </w:rPr>
        <w:t>，地址：</w:t>
      </w:r>
      <w:r>
        <w:rPr>
          <w:rFonts w:hint="eastAsia" w:ascii="宋体" w:hAnsi="宋体" w:eastAsia="宋体" w:cs="微软雅黑"/>
          <w:sz w:val="18"/>
        </w:rPr>
        <w:t>南京市中山东路90号华泰证券大厦19层</w:t>
      </w:r>
      <w:r>
        <w:rPr>
          <w:rFonts w:ascii="宋体" w:hAnsi="宋体" w:eastAsia="宋体" w:cs="微软雅黑"/>
          <w:sz w:val="18"/>
        </w:rPr>
        <w:t>，邮编：210002。</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中国证券投资基金业协会：网址：</w:t>
      </w:r>
      <w:r>
        <w:fldChar w:fldCharType="begin"/>
      </w:r>
      <w:r>
        <w:instrText xml:space="preserve"> HYPERLINK "http://www.amac.org" </w:instrText>
      </w:r>
      <w:r>
        <w:fldChar w:fldCharType="separate"/>
      </w:r>
      <w:r>
        <w:rPr>
          <w:rFonts w:ascii="宋体" w:hAnsi="宋体" w:eastAsia="宋体" w:cs="微软雅黑"/>
          <w:sz w:val="18"/>
        </w:rPr>
        <w:t>www.amac.org</w:t>
      </w:r>
      <w:r>
        <w:rPr>
          <w:rFonts w:ascii="宋体" w:hAnsi="宋体" w:eastAsia="宋体" w:cs="微软雅黑"/>
          <w:sz w:val="18"/>
        </w:rPr>
        <w:fldChar w:fldCharType="end"/>
      </w:r>
      <w:r>
        <w:rPr>
          <w:rFonts w:ascii="宋体" w:hAnsi="宋体" w:eastAsia="宋体" w:cs="微软雅黑"/>
          <w:sz w:val="18"/>
        </w:rPr>
        <w:t>.cn，电子邮箱：</w:t>
      </w:r>
      <w:r>
        <w:fldChar w:fldCharType="begin"/>
      </w:r>
      <w:r>
        <w:instrText xml:space="preserve"> HYPERLINK "mailto:tousu@amac.org" </w:instrText>
      </w:r>
      <w:r>
        <w:fldChar w:fldCharType="separate"/>
      </w:r>
      <w:r>
        <w:rPr>
          <w:rFonts w:ascii="宋体" w:hAnsi="宋体" w:eastAsia="宋体" w:cs="微软雅黑"/>
          <w:sz w:val="18"/>
        </w:rPr>
        <w:t>tousu@amac.org</w:t>
      </w:r>
      <w:r>
        <w:rPr>
          <w:rFonts w:ascii="宋体" w:hAnsi="宋体" w:eastAsia="宋体" w:cs="微软雅黑"/>
          <w:sz w:val="18"/>
        </w:rPr>
        <w:fldChar w:fldCharType="end"/>
      </w:r>
      <w:r>
        <w:rPr>
          <w:rFonts w:ascii="宋体" w:hAnsi="宋体" w:eastAsia="宋体" w:cs="微软雅黑"/>
          <w:sz w:val="18"/>
        </w:rPr>
        <w:t>.cn，地址：北京市西城区金融大街20号交通银行大厦B座9层中国基金业协会，邮编：100033</w:t>
      </w:r>
      <w:r>
        <w:rPr>
          <w:rFonts w:hint="eastAsia" w:ascii="宋体" w:hAnsi="宋体" w:eastAsia="宋体" w:cs="微软雅黑"/>
          <w:sz w:val="18"/>
        </w:rPr>
        <w:t>。</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中国证券业协会：网址：www.sac.net.cn，电子邮箱：huizhang@sac.net.cn，联系电话：010-66290920,地址：北京市西城区金融大街19号富凯大厦B座2层，邮编：100032</w:t>
      </w:r>
      <w:r>
        <w:rPr>
          <w:rFonts w:hint="eastAsia" w:ascii="宋体" w:hAnsi="宋体" w:eastAsia="宋体" w:cs="微软雅黑"/>
          <w:sz w:val="18"/>
        </w:rPr>
        <w:t>。</w:t>
      </w: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中国证券投资者保护网：</w:t>
      </w:r>
      <w:r>
        <w:fldChar w:fldCharType="begin"/>
      </w:r>
      <w:r>
        <w:instrText xml:space="preserve"> HYPERLINK "http://www.sipf.com" </w:instrText>
      </w:r>
      <w:r>
        <w:fldChar w:fldCharType="separate"/>
      </w:r>
      <w:r>
        <w:rPr>
          <w:rFonts w:ascii="宋体" w:hAnsi="宋体" w:eastAsia="宋体" w:cs="微软雅黑"/>
          <w:sz w:val="18"/>
        </w:rPr>
        <w:t>www.sipf.com</w:t>
      </w:r>
      <w:r>
        <w:rPr>
          <w:rFonts w:ascii="宋体" w:hAnsi="宋体" w:eastAsia="宋体" w:cs="微软雅黑"/>
          <w:sz w:val="18"/>
        </w:rPr>
        <w:fldChar w:fldCharType="end"/>
      </w:r>
      <w:r>
        <w:rPr>
          <w:rFonts w:ascii="宋体" w:hAnsi="宋体" w:eastAsia="宋体" w:cs="微软雅黑"/>
          <w:sz w:val="18"/>
        </w:rPr>
        <w:t>.cn，联系电话：12386、010-66580883，地址：北京西城区金融大街5号新盛大厦B座22层，邮编：100033。</w:t>
      </w:r>
    </w:p>
    <w:p>
      <w:pPr>
        <w:spacing w:line="360" w:lineRule="auto"/>
        <w:ind w:right="-720" w:rightChars="-300"/>
        <w:rPr>
          <w:rFonts w:ascii="宋体" w:hAnsi="宋体" w:eastAsia="宋体" w:cs="微软雅黑"/>
          <w:sz w:val="18"/>
        </w:rPr>
      </w:pPr>
    </w:p>
    <w:p>
      <w:pPr>
        <w:spacing w:line="360" w:lineRule="auto"/>
        <w:ind w:left="-720" w:leftChars="-300" w:right="-720" w:rightChars="-300" w:firstLine="360" w:firstLineChars="200"/>
        <w:rPr>
          <w:rFonts w:ascii="宋体" w:hAnsi="宋体" w:eastAsia="宋体" w:cs="微软雅黑"/>
          <w:sz w:val="18"/>
        </w:rPr>
      </w:pPr>
      <w:r>
        <w:rPr>
          <w:rFonts w:ascii="宋体" w:hAnsi="宋体" w:eastAsia="宋体" w:cs="微软雅黑"/>
          <w:sz w:val="18"/>
        </w:rPr>
        <w:t>投资者在投资基金前应认真阅读《基金合同》、《招募说明书》等基金法律文件，选择与自身风险承受能力相适应的基金。我公司承诺投资人利益优先，以诚实信用、勤勉尽责的态度为投资人提供服务，但不能保证基金一定盈利，也不能保证基金的最低收益。投资人可登录中国证监会网站(WWW.csrc.gov.cn)或中国证券业协会网站（www.sac.net.cn)查询基金销售机构名录，核实我公司基金销售资格。</w:t>
      </w:r>
    </w:p>
    <w:p>
      <w:pPr>
        <w:spacing w:line="360" w:lineRule="auto"/>
        <w:ind w:left="-720" w:leftChars="-300" w:right="-720" w:rightChars="-300" w:firstLine="360" w:firstLineChars="200"/>
        <w:rPr>
          <w:rFonts w:ascii="宋体" w:hAnsi="宋体" w:eastAsia="宋体" w:cs="微软雅黑"/>
          <w:sz w:val="18"/>
        </w:rPr>
      </w:pPr>
    </w:p>
    <w:p>
      <w:pPr>
        <w:spacing w:line="360" w:lineRule="auto"/>
        <w:ind w:right="-720" w:rightChars="-300"/>
        <w:rPr>
          <w:rFonts w:ascii="宋体" w:hAnsi="宋体" w:eastAsia="宋体" w:cs="微软雅黑"/>
          <w:sz w:val="18"/>
        </w:rPr>
      </w:pPr>
    </w:p>
    <w:p>
      <w:pPr>
        <w:spacing w:line="360" w:lineRule="auto"/>
        <w:ind w:left="-720" w:leftChars="-300" w:right="-720" w:rightChars="-300"/>
        <w:rPr>
          <w:rFonts w:ascii="宋体" w:hAnsi="宋体" w:eastAsia="宋体" w:cs="微软雅黑"/>
          <w:sz w:val="18"/>
        </w:rPr>
      </w:pPr>
      <w:r>
        <w:rPr>
          <w:rFonts w:ascii="宋体" w:hAnsi="宋体" w:eastAsia="宋体" w:cs="微软雅黑"/>
          <w:sz w:val="18"/>
        </w:rPr>
        <w:t>投资者签字/机构公章：</w:t>
      </w:r>
    </w:p>
    <w:p>
      <w:pPr>
        <w:spacing w:line="360" w:lineRule="auto"/>
        <w:ind w:left="-720" w:leftChars="-300" w:right="-720" w:rightChars="-300"/>
        <w:rPr>
          <w:rFonts w:ascii="宋体" w:hAnsi="宋体" w:eastAsia="宋体" w:cs="微软雅黑"/>
          <w:sz w:val="18"/>
        </w:rPr>
      </w:pPr>
    </w:p>
    <w:p>
      <w:pPr>
        <w:spacing w:line="360" w:lineRule="auto"/>
        <w:ind w:left="-720" w:leftChars="-300" w:right="-720" w:rightChars="-300"/>
        <w:rPr>
          <w:rFonts w:ascii="宋体" w:hAnsi="宋体" w:eastAsia="宋体" w:cs="微软雅黑"/>
          <w:sz w:val="18"/>
        </w:rPr>
      </w:pPr>
    </w:p>
    <w:p>
      <w:pPr>
        <w:spacing w:line="360" w:lineRule="auto"/>
        <w:ind w:left="-720" w:leftChars="-300" w:right="-720" w:rightChars="-300"/>
        <w:rPr>
          <w:rFonts w:ascii="宋体" w:hAnsi="宋体" w:eastAsia="宋体" w:cs="微软雅黑"/>
          <w:sz w:val="18"/>
        </w:rPr>
      </w:pPr>
      <w:r>
        <w:rPr>
          <w:rFonts w:ascii="宋体" w:hAnsi="宋体" w:eastAsia="宋体" w:cs="微软雅黑"/>
          <w:sz w:val="18"/>
        </w:rPr>
        <w:t>签署日期：</w:t>
      </w:r>
      <w:r>
        <w:rPr>
          <w:rFonts w:hint="eastAsia" w:ascii="宋体" w:hAnsi="宋体" w:eastAsia="宋体" w:cs="微软雅黑"/>
          <w:sz w:val="18"/>
          <w:u w:val="single"/>
        </w:rPr>
        <w:t xml:space="preserve">    </w:t>
      </w:r>
      <w:r>
        <w:rPr>
          <w:rFonts w:ascii="宋体" w:hAnsi="宋体" w:eastAsia="宋体" w:cs="微软雅黑"/>
          <w:sz w:val="18"/>
          <w:u w:val="single"/>
        </w:rPr>
        <w:t xml:space="preserve"> </w:t>
      </w:r>
      <w:r>
        <w:rPr>
          <w:rFonts w:ascii="宋体" w:hAnsi="宋体" w:eastAsia="宋体" w:cs="微软雅黑"/>
          <w:sz w:val="18"/>
        </w:rPr>
        <w:t>年</w:t>
      </w:r>
      <w:r>
        <w:rPr>
          <w:rFonts w:hint="eastAsia" w:ascii="宋体" w:hAnsi="宋体" w:eastAsia="宋体" w:cs="微软雅黑"/>
          <w:sz w:val="18"/>
          <w:u w:val="single"/>
        </w:rPr>
        <w:t xml:space="preserve">    </w:t>
      </w:r>
      <w:r>
        <w:rPr>
          <w:rFonts w:ascii="宋体" w:hAnsi="宋体" w:eastAsia="宋体" w:cs="微软雅黑"/>
          <w:sz w:val="18"/>
          <w:u w:val="single"/>
        </w:rPr>
        <w:t xml:space="preserve"> </w:t>
      </w:r>
      <w:r>
        <w:rPr>
          <w:rFonts w:ascii="宋体" w:hAnsi="宋体" w:eastAsia="宋体" w:cs="微软雅黑"/>
          <w:sz w:val="18"/>
        </w:rPr>
        <w:t>月</w:t>
      </w:r>
      <w:r>
        <w:rPr>
          <w:rFonts w:hint="eastAsia" w:ascii="宋体" w:hAnsi="宋体" w:eastAsia="宋体" w:cs="微软雅黑"/>
          <w:sz w:val="18"/>
          <w:u w:val="single"/>
        </w:rPr>
        <w:t xml:space="preserve">    </w:t>
      </w:r>
      <w:r>
        <w:rPr>
          <w:rFonts w:ascii="宋体" w:hAnsi="宋体" w:eastAsia="宋体" w:cs="微软雅黑"/>
          <w:sz w:val="18"/>
          <w:u w:val="single"/>
        </w:rPr>
        <w:t xml:space="preserve"> </w:t>
      </w:r>
      <w:r>
        <w:rPr>
          <w:rFonts w:ascii="宋体" w:hAnsi="宋体" w:eastAsia="宋体" w:cs="微软雅黑"/>
          <w:sz w:val="1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7979621"/>
      <w:docPartObj>
        <w:docPartGallery w:val="autotext"/>
      </w:docPartObj>
    </w:sdtPr>
    <w:sdtContent>
      <w:p>
        <w:pPr>
          <w:pStyle w:val="3"/>
          <w:jc w:val="center"/>
        </w:pPr>
        <w:r>
          <w:fldChar w:fldCharType="begin"/>
        </w:r>
        <w:r>
          <w:instrText xml:space="preserve"> PAGE   \* MERGEFORMAT </w:instrText>
        </w:r>
        <w:r>
          <w:fldChar w:fldCharType="separate"/>
        </w:r>
        <w: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eastAsiaTheme="minorEastAsia"/>
      </w:rPr>
    </w:pPr>
    <w:r>
      <w:rPr>
        <w:lang w:val="en-US" w:bidi="ar-SA"/>
      </w:rPr>
      <w:drawing>
        <wp:anchor distT="0" distB="0" distL="114300" distR="114300" simplePos="0" relativeHeight="251659264" behindDoc="0" locked="0" layoutInCell="1" allowOverlap="1">
          <wp:simplePos x="0" y="0"/>
          <wp:positionH relativeFrom="column">
            <wp:posOffset>-26670</wp:posOffset>
          </wp:positionH>
          <wp:positionV relativeFrom="paragraph">
            <wp:posOffset>-158115</wp:posOffset>
          </wp:positionV>
          <wp:extent cx="688340" cy="222885"/>
          <wp:effectExtent l="1905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8616" cy="22263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30"/>
    <w:rsid w:val="00016CF6"/>
    <w:rsid w:val="000469EF"/>
    <w:rsid w:val="00056179"/>
    <w:rsid w:val="0007474D"/>
    <w:rsid w:val="00094536"/>
    <w:rsid w:val="001815A3"/>
    <w:rsid w:val="001D777A"/>
    <w:rsid w:val="00212387"/>
    <w:rsid w:val="002262AA"/>
    <w:rsid w:val="00274FE6"/>
    <w:rsid w:val="00297860"/>
    <w:rsid w:val="002E2939"/>
    <w:rsid w:val="003347ED"/>
    <w:rsid w:val="003615C5"/>
    <w:rsid w:val="003D08B6"/>
    <w:rsid w:val="00412930"/>
    <w:rsid w:val="00441C19"/>
    <w:rsid w:val="004A5844"/>
    <w:rsid w:val="004D7E07"/>
    <w:rsid w:val="00512E6A"/>
    <w:rsid w:val="0054124C"/>
    <w:rsid w:val="005C4EB0"/>
    <w:rsid w:val="00686FB2"/>
    <w:rsid w:val="00691701"/>
    <w:rsid w:val="006A6419"/>
    <w:rsid w:val="006C279A"/>
    <w:rsid w:val="0092127B"/>
    <w:rsid w:val="0095327E"/>
    <w:rsid w:val="00955F83"/>
    <w:rsid w:val="00974789"/>
    <w:rsid w:val="00980BCE"/>
    <w:rsid w:val="009845C7"/>
    <w:rsid w:val="00A8763D"/>
    <w:rsid w:val="00AA337E"/>
    <w:rsid w:val="00AE58B9"/>
    <w:rsid w:val="00B1094F"/>
    <w:rsid w:val="00B13FF1"/>
    <w:rsid w:val="00C5256B"/>
    <w:rsid w:val="00C700F0"/>
    <w:rsid w:val="00C77D1A"/>
    <w:rsid w:val="00D10032"/>
    <w:rsid w:val="00D36623"/>
    <w:rsid w:val="00D83723"/>
    <w:rsid w:val="00DC5429"/>
    <w:rsid w:val="00E56062"/>
    <w:rsid w:val="00E915E4"/>
    <w:rsid w:val="00ED7547"/>
    <w:rsid w:val="00EE10FC"/>
    <w:rsid w:val="00EF0B69"/>
    <w:rsid w:val="00EF7A3C"/>
    <w:rsid w:val="00F31A82"/>
    <w:rsid w:val="00F3506B"/>
    <w:rsid w:val="00F82B51"/>
    <w:rsid w:val="00F8617F"/>
    <w:rsid w:val="00FD5A13"/>
    <w:rsid w:val="0EA51753"/>
    <w:rsid w:val="38C2726B"/>
    <w:rsid w:val="63470AFC"/>
    <w:rsid w:val="662A2A16"/>
    <w:rsid w:val="7612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ourier New" w:hAnsi="Courier New" w:eastAsia="Courier New" w:cs="Courier New"/>
      <w:color w:val="000000"/>
      <w:kern w:val="0"/>
      <w:sz w:val="18"/>
      <w:szCs w:val="18"/>
      <w:lang w:val="zh-CN" w:bidi="zh-CN"/>
    </w:rPr>
  </w:style>
  <w:style w:type="character" w:customStyle="1" w:styleId="8">
    <w:name w:val="页脚 Char"/>
    <w:basedOn w:val="6"/>
    <w:link w:val="3"/>
    <w:qFormat/>
    <w:uiPriority w:val="99"/>
    <w:rPr>
      <w:rFonts w:ascii="Courier New" w:hAnsi="Courier New" w:eastAsia="Courier New" w:cs="Courier New"/>
      <w:color w:val="000000"/>
      <w:kern w:val="0"/>
      <w:sz w:val="18"/>
      <w:szCs w:val="18"/>
      <w:lang w:val="zh-CN" w:bidi="zh-CN"/>
    </w:rPr>
  </w:style>
  <w:style w:type="character" w:customStyle="1" w:styleId="9">
    <w:name w:val="批注框文本 Char"/>
    <w:basedOn w:val="6"/>
    <w:link w:val="2"/>
    <w:semiHidden/>
    <w:qFormat/>
    <w:uiPriority w:val="99"/>
    <w:rPr>
      <w:rFonts w:ascii="Courier New" w:hAnsi="Courier New" w:eastAsia="Courier New" w:cs="Courier New"/>
      <w:color w:val="000000"/>
      <w:kern w:val="0"/>
      <w:sz w:val="18"/>
      <w:szCs w:val="18"/>
      <w:lang w:val="zh-CN" w:bidi="zh-CN"/>
    </w:r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62095-EB43-4FF1-A815-D0F26A511BF5}">
  <ds:schemaRefs/>
</ds:datastoreItem>
</file>

<file path=docProps/app.xml><?xml version="1.0" encoding="utf-8"?>
<Properties xmlns="http://schemas.openxmlformats.org/officeDocument/2006/extended-properties" xmlns:vt="http://schemas.openxmlformats.org/officeDocument/2006/docPropsVTypes">
  <Template>Normal</Template>
  <Pages>4</Pages>
  <Words>673</Words>
  <Characters>3839</Characters>
  <Lines>31</Lines>
  <Paragraphs>9</Paragraphs>
  <TotalTime>83</TotalTime>
  <ScaleCrop>false</ScaleCrop>
  <LinksUpToDate>false</LinksUpToDate>
  <CharactersWithSpaces>4503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2019-11-14T01:38:00Z</dcterms:created>
  <dc:creator>ping sun</dc:creator>
  <cp:lastModifiedBy>Administrator</cp:lastModifiedBy>
  <dcterms:modified xsi:type="dcterms:W3CDTF">2020-05-06T07:09:07Z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